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jc w:val="center"/>
        <w:rPr>
          <w:rFonts w:hint="eastAsia"/>
        </w:rPr>
      </w:pPr>
      <w:r>
        <w:rPr>
          <w:rFonts w:hint="eastAsia" w:ascii="方正黑体_GBK" w:eastAsia="方正黑体_GBK"/>
          <w:b/>
          <w:color w:val="000000"/>
          <w:sz w:val="28"/>
          <w:szCs w:val="28"/>
        </w:rPr>
        <w:t>“十三五”信息基础设施发展主要指标表</w:t>
      </w:r>
    </w:p>
    <w:tbl>
      <w:tblPr>
        <w:tblStyle w:val="3"/>
        <w:tblW w:w="901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55"/>
        <w:gridCol w:w="3050"/>
        <w:gridCol w:w="1127"/>
        <w:gridCol w:w="1266"/>
        <w:gridCol w:w="11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2020年</w:t>
            </w:r>
          </w:p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总体指标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基础设施指数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光纤网络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城域网接入带宽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Gbps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城乡光纤覆盖率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全市家庭光纤用户数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万户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城镇家庭宽带接入能力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农村家庭宽带接入能力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城镇宽带平均接入速率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≥50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农村宽带平均接入速率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≥20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新建住宅小区光纤入户共建共享率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无线网络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全市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网络覆盖率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及其长期演进技术用户普及率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户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百人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移动通信杆塔数量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12088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市、辖市（区）城区主要公共区域</w:t>
            </w:r>
            <w:r>
              <w:rPr>
                <w:rFonts w:eastAsia="宋体"/>
                <w:color w:val="000000"/>
                <w:sz w:val="24"/>
                <w:szCs w:val="24"/>
              </w:rPr>
              <w:t>wifi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覆盖率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三网融合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高清互动电视用户占有线电视用户比例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≥50%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大多数城市家庭广电宽带接入能力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≥20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大多数农村家庭广电宽带接入能力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Mbps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≥4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全市</w:t>
            </w:r>
            <w:r>
              <w:rPr>
                <w:rFonts w:eastAsia="宋体"/>
                <w:color w:val="000000"/>
                <w:sz w:val="24"/>
                <w:szCs w:val="24"/>
              </w:rPr>
              <w:t>IPTV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用户数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万户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工业互联网</w:t>
            </w:r>
          </w:p>
        </w:tc>
        <w:tc>
          <w:tcPr>
            <w:tcW w:w="7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实现宽带网络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进企业、入车间、联设备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的企业数量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≥4000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预期性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E79B7"/>
    <w:rsid w:val="665E79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gc123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2018-06-12T08:47:00Z</dcterms:created>
  <dc:creator>wgc123</dc:creator>
  <cp:lastModifiedBy>wgc123</cp:lastModifiedBy>
  <dcterms:modified xsi:type="dcterms:W3CDTF">2018-06-12T08:47:37Z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